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3261" w:rsidRPr="00FF69D2" w:rsidRDefault="008E518C" w:rsidP="008E518C">
      <w:pPr>
        <w:ind w:right="113"/>
        <w:rPr>
          <w:rFonts w:ascii="標楷體" w:eastAsia="標楷體" w:hAnsi="標楷體"/>
          <w:sz w:val="32"/>
        </w:rPr>
      </w:pPr>
      <w:r>
        <w:rPr>
          <w:rFonts w:ascii="標楷體" w:eastAsia="標楷體" w:hAnsi="標楷體" w:hint="eastAsia"/>
          <w:sz w:val="28"/>
          <w:szCs w:val="28"/>
        </w:rPr>
        <w:t xml:space="preserve">附件一            </w:t>
      </w:r>
      <w:r w:rsidR="00793083" w:rsidRPr="009054B3">
        <w:rPr>
          <w:rFonts w:ascii="標楷體" w:eastAsia="標楷體" w:hAnsi="標楷體" w:hint="eastAsia"/>
          <w:sz w:val="28"/>
          <w:szCs w:val="28"/>
        </w:rPr>
        <w:t>桃園市立中壢商業高級中等</w:t>
      </w:r>
      <w:r w:rsidR="00C879EA" w:rsidRPr="00C879EA">
        <w:rPr>
          <w:rFonts w:ascii="標楷體" w:eastAsia="標楷體" w:hAnsi="標楷體" w:hint="eastAsia"/>
          <w:sz w:val="28"/>
          <w:szCs w:val="28"/>
        </w:rPr>
        <w:t>學生轉科實施要點</w:t>
      </w:r>
      <w:r w:rsidR="006B3261" w:rsidRPr="009054B3">
        <w:rPr>
          <w:rFonts w:ascii="標楷體" w:eastAsia="標楷體" w:hAnsi="標楷體" w:hint="eastAsia"/>
          <w:sz w:val="28"/>
          <w:szCs w:val="28"/>
        </w:rPr>
        <w:t>修訂條文對照表(草案)</w:t>
      </w:r>
      <w:r w:rsidR="006B3261">
        <w:rPr>
          <w:rFonts w:ascii="標楷體" w:eastAsia="標楷體" w:hAnsi="標楷體" w:hint="eastAsia"/>
          <w:sz w:val="32"/>
        </w:rPr>
        <w:t xml:space="preserve"> </w:t>
      </w:r>
      <w:r w:rsidR="00FF69D2">
        <w:rPr>
          <w:rFonts w:ascii="標楷體" w:eastAsia="標楷體" w:hAnsi="標楷體" w:hint="eastAsia"/>
          <w:sz w:val="32"/>
        </w:rPr>
        <w:t xml:space="preserve"> </w:t>
      </w:r>
      <w:r>
        <w:rPr>
          <w:rFonts w:ascii="標楷體" w:eastAsia="標楷體" w:hAnsi="標楷體" w:hint="eastAsia"/>
          <w:sz w:val="32"/>
        </w:rPr>
        <w:t xml:space="preserve">       </w:t>
      </w:r>
      <w:r w:rsidR="006B3261" w:rsidRPr="00223589">
        <w:rPr>
          <w:rFonts w:ascii="Times New Roman" w:eastAsia="標楷體" w:hAnsi="Times New Roman" w:cs="Times New Roman"/>
          <w:szCs w:val="24"/>
        </w:rPr>
        <w:t>109.0</w:t>
      </w:r>
      <w:r w:rsidR="00A96CF5" w:rsidRPr="00223589">
        <w:rPr>
          <w:rFonts w:ascii="Times New Roman" w:eastAsia="標楷體" w:hAnsi="Times New Roman" w:cs="Times New Roman"/>
          <w:szCs w:val="24"/>
        </w:rPr>
        <w:t>6</w:t>
      </w:r>
      <w:r w:rsidR="006B3261" w:rsidRPr="00223589">
        <w:rPr>
          <w:rFonts w:ascii="Times New Roman" w:eastAsia="標楷體" w:hAnsi="Times New Roman" w:cs="Times New Roman"/>
          <w:szCs w:val="24"/>
        </w:rPr>
        <w:t>.</w:t>
      </w:r>
      <w:r w:rsidR="009054B3">
        <w:rPr>
          <w:rFonts w:ascii="Times New Roman" w:eastAsia="標楷體" w:hAnsi="Times New Roman" w:cs="Times New Roman"/>
          <w:szCs w:val="24"/>
        </w:rPr>
        <w:t>23</w:t>
      </w:r>
      <w:r w:rsidR="006B3261" w:rsidRPr="00223589">
        <w:rPr>
          <w:rFonts w:ascii="Times New Roman" w:eastAsia="標楷體" w:hAnsi="Times New Roman" w:cs="Times New Roman"/>
          <w:szCs w:val="24"/>
        </w:rPr>
        <w:t>教務處訂</w:t>
      </w:r>
    </w:p>
    <w:tbl>
      <w:tblPr>
        <w:tblStyle w:val="a3"/>
        <w:tblW w:w="14454" w:type="dxa"/>
        <w:tblLook w:val="04A0" w:firstRow="1" w:lastRow="0" w:firstColumn="1" w:lastColumn="0" w:noHBand="0" w:noVBand="1"/>
      </w:tblPr>
      <w:tblGrid>
        <w:gridCol w:w="6658"/>
        <w:gridCol w:w="6804"/>
        <w:gridCol w:w="992"/>
      </w:tblGrid>
      <w:tr w:rsidR="00535BA0" w:rsidTr="00535BA0">
        <w:tc>
          <w:tcPr>
            <w:tcW w:w="6658" w:type="dxa"/>
          </w:tcPr>
          <w:p w:rsidR="00535BA0" w:rsidRPr="003F236D" w:rsidRDefault="00535BA0">
            <w:pPr>
              <w:rPr>
                <w:rFonts w:ascii="標楷體" w:eastAsia="標楷體" w:hAnsi="標楷體" w:cs="Times New Roman"/>
                <w:szCs w:val="24"/>
              </w:rPr>
            </w:pPr>
            <w:r w:rsidRPr="003F236D">
              <w:rPr>
                <w:rFonts w:ascii="標楷體" w:eastAsia="標楷體" w:hAnsi="標楷體" w:cs="Times New Roman"/>
                <w:szCs w:val="24"/>
              </w:rPr>
              <w:t>原條文</w:t>
            </w:r>
          </w:p>
        </w:tc>
        <w:tc>
          <w:tcPr>
            <w:tcW w:w="6804" w:type="dxa"/>
          </w:tcPr>
          <w:p w:rsidR="00535BA0" w:rsidRPr="003F236D" w:rsidRDefault="00535BA0">
            <w:pPr>
              <w:rPr>
                <w:rFonts w:ascii="標楷體" w:eastAsia="標楷體" w:hAnsi="標楷體" w:cs="Times New Roman"/>
                <w:szCs w:val="24"/>
              </w:rPr>
            </w:pPr>
            <w:r w:rsidRPr="003F236D">
              <w:rPr>
                <w:rFonts w:ascii="標楷體" w:eastAsia="標楷體" w:hAnsi="標楷體" w:cs="Times New Roman" w:hint="eastAsia"/>
                <w:szCs w:val="24"/>
              </w:rPr>
              <w:t>修</w:t>
            </w:r>
            <w:r w:rsidRPr="003F236D">
              <w:rPr>
                <w:rFonts w:ascii="標楷體" w:eastAsia="標楷體" w:hAnsi="標楷體" w:cs="Times New Roman"/>
                <w:szCs w:val="24"/>
              </w:rPr>
              <w:t>正</w:t>
            </w:r>
            <w:r w:rsidRPr="003F236D">
              <w:rPr>
                <w:rFonts w:ascii="標楷體" w:eastAsia="標楷體" w:hAnsi="標楷體" w:cs="Times New Roman" w:hint="eastAsia"/>
                <w:szCs w:val="24"/>
              </w:rPr>
              <w:t>條</w:t>
            </w:r>
            <w:r w:rsidRPr="003F236D">
              <w:rPr>
                <w:rFonts w:ascii="標楷體" w:eastAsia="標楷體" w:hAnsi="標楷體" w:cs="Times New Roman"/>
                <w:szCs w:val="24"/>
              </w:rPr>
              <w:t>文</w:t>
            </w:r>
          </w:p>
        </w:tc>
        <w:tc>
          <w:tcPr>
            <w:tcW w:w="992" w:type="dxa"/>
          </w:tcPr>
          <w:p w:rsidR="00535BA0" w:rsidRPr="00531E7B" w:rsidRDefault="00535BA0">
            <w:pPr>
              <w:rPr>
                <w:rFonts w:ascii="標楷體" w:eastAsia="標楷體" w:hAnsi="標楷體" w:cs="Times New Roman"/>
                <w:szCs w:val="24"/>
              </w:rPr>
            </w:pPr>
            <w:r w:rsidRPr="00531E7B">
              <w:rPr>
                <w:rFonts w:ascii="標楷體" w:eastAsia="標楷體" w:hAnsi="標楷體" w:cs="Times New Roman" w:hint="eastAsia"/>
                <w:szCs w:val="24"/>
              </w:rPr>
              <w:t>備註</w:t>
            </w:r>
          </w:p>
        </w:tc>
      </w:tr>
      <w:tr w:rsidR="00535BA0" w:rsidRPr="006B3261" w:rsidTr="00535BA0">
        <w:trPr>
          <w:trHeight w:val="6844"/>
        </w:trPr>
        <w:tc>
          <w:tcPr>
            <w:tcW w:w="6658" w:type="dxa"/>
          </w:tcPr>
          <w:p w:rsidR="00535BA0" w:rsidRPr="003F236D" w:rsidRDefault="00535BA0" w:rsidP="00142DE4">
            <w:pPr>
              <w:snapToGrid w:val="0"/>
              <w:ind w:left="458" w:hangingChars="191" w:hanging="458"/>
              <w:rPr>
                <w:rFonts w:ascii="標楷體" w:eastAsia="標楷體" w:hAnsi="標楷體" w:cs="Times New Roman"/>
                <w:szCs w:val="24"/>
              </w:rPr>
            </w:pPr>
            <w:r w:rsidRPr="003F236D">
              <w:rPr>
                <w:rFonts w:ascii="標楷體" w:eastAsia="標楷體" w:hAnsi="標楷體" w:cs="Times New Roman" w:hint="eastAsia"/>
                <w:szCs w:val="24"/>
              </w:rPr>
              <w:t>六、欲轉科者，須取得轉入科別之採計科目所有學分：若轉科人數超過該科缺額時，依各科所採計科目平均分數高低比序決定之。</w:t>
            </w:r>
          </w:p>
          <w:p w:rsidR="00535BA0" w:rsidRPr="003F236D" w:rsidRDefault="00535BA0" w:rsidP="00142DE4">
            <w:pPr>
              <w:snapToGrid w:val="0"/>
              <w:ind w:left="459"/>
              <w:rPr>
                <w:rFonts w:ascii="標楷體" w:eastAsia="標楷體" w:hAnsi="標楷體" w:cs="Times New Roman"/>
                <w:szCs w:val="24"/>
              </w:rPr>
            </w:pPr>
            <w:r w:rsidRPr="003F236D">
              <w:rPr>
                <w:rFonts w:ascii="標楷體" w:eastAsia="標楷體" w:hAnsi="標楷體" w:cs="Times New Roman" w:hint="eastAsia"/>
                <w:szCs w:val="24"/>
              </w:rPr>
              <w:t>各科互轉計算成績科目如下：</w:t>
            </w:r>
          </w:p>
          <w:tbl>
            <w:tblPr>
              <w:tblStyle w:val="a3"/>
              <w:tblW w:w="0" w:type="auto"/>
              <w:tblInd w:w="960" w:type="dxa"/>
              <w:tblLook w:val="01E0" w:firstRow="1" w:lastRow="1" w:firstColumn="1" w:lastColumn="1" w:noHBand="0" w:noVBand="0"/>
            </w:tblPr>
            <w:tblGrid>
              <w:gridCol w:w="1883"/>
              <w:gridCol w:w="1316"/>
              <w:gridCol w:w="2273"/>
            </w:tblGrid>
            <w:tr w:rsidR="00535BA0" w:rsidRPr="003F236D" w:rsidTr="00535BA0">
              <w:tc>
                <w:tcPr>
                  <w:tcW w:w="21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9F0791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職科互轉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9F0791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轉入之科別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9F0791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採計科目</w:t>
                  </w:r>
                </w:p>
              </w:tc>
            </w:tr>
            <w:tr w:rsidR="00535BA0" w:rsidRPr="003F236D" w:rsidTr="00535BA0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9F0791">
                  <w:pPr>
                    <w:widowControl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商經科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國文、會計</w:t>
                  </w:r>
                </w:p>
              </w:tc>
            </w:tr>
            <w:tr w:rsidR="00535BA0" w:rsidRPr="003F236D" w:rsidTr="00535BA0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9F0791">
                  <w:pPr>
                    <w:widowControl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國貿科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英文、會計</w:t>
                  </w:r>
                </w:p>
              </w:tc>
            </w:tr>
            <w:tr w:rsidR="00535BA0" w:rsidRPr="003F236D" w:rsidTr="00535BA0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9F0791">
                  <w:pPr>
                    <w:widowControl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資處科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數學、計概</w:t>
                  </w:r>
                </w:p>
              </w:tc>
            </w:tr>
            <w:tr w:rsidR="00535BA0" w:rsidRPr="003F236D" w:rsidTr="00535BA0">
              <w:tc>
                <w:tcPr>
                  <w:tcW w:w="21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9F0791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職科轉綜高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綜高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國文、英文、數學</w:t>
                  </w:r>
                </w:p>
              </w:tc>
            </w:tr>
            <w:tr w:rsidR="00535BA0" w:rsidRPr="003F236D" w:rsidTr="00535BA0">
              <w:tc>
                <w:tcPr>
                  <w:tcW w:w="21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35BA0" w:rsidRPr="003F236D" w:rsidRDefault="00535BA0" w:rsidP="009F0791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職科轉進修部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商經科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國文、會計</w:t>
                  </w:r>
                </w:p>
              </w:tc>
            </w:tr>
            <w:tr w:rsidR="00535BA0" w:rsidRPr="003F236D" w:rsidTr="00535BA0">
              <w:tc>
                <w:tcPr>
                  <w:tcW w:w="213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BA0" w:rsidRPr="003F236D" w:rsidRDefault="00535BA0" w:rsidP="009F0791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資處科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數學、計概</w:t>
                  </w:r>
                </w:p>
              </w:tc>
            </w:tr>
            <w:tr w:rsidR="00535BA0" w:rsidRPr="003F236D" w:rsidTr="00535BA0">
              <w:tc>
                <w:tcPr>
                  <w:tcW w:w="21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9F0791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綜高轉職科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商經科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國文</w:t>
                  </w:r>
                </w:p>
              </w:tc>
            </w:tr>
            <w:tr w:rsidR="00535BA0" w:rsidRPr="003F236D" w:rsidTr="00535BA0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9F0791">
                  <w:pPr>
                    <w:widowControl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國貿科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英文</w:t>
                  </w:r>
                </w:p>
              </w:tc>
            </w:tr>
            <w:tr w:rsidR="00535BA0" w:rsidRPr="003F236D" w:rsidTr="00535BA0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9F0791">
                  <w:pPr>
                    <w:widowControl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資處科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數學、生活科技《或計概》</w:t>
                  </w:r>
                </w:p>
              </w:tc>
            </w:tr>
            <w:tr w:rsidR="00535BA0" w:rsidRPr="003F236D" w:rsidTr="00535BA0"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35BA0" w:rsidRPr="003F236D" w:rsidRDefault="00535BA0" w:rsidP="009F0791">
                  <w:pPr>
                    <w:widowControl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綜高轉進修部</w:t>
                  </w: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商經科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國文</w:t>
                  </w:r>
                </w:p>
              </w:tc>
            </w:tr>
            <w:tr w:rsidR="00535BA0" w:rsidRPr="003F236D" w:rsidTr="00535BA0">
              <w:tc>
                <w:tcPr>
                  <w:tcW w:w="0" w:type="auto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BA0" w:rsidRPr="003F236D" w:rsidRDefault="00535BA0" w:rsidP="009F0791">
                  <w:pPr>
                    <w:widowControl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4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資處科</w:t>
                  </w:r>
                </w:p>
              </w:tc>
              <w:tc>
                <w:tcPr>
                  <w:tcW w:w="25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9F0791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數學、生活科技《或計概》</w:t>
                  </w:r>
                </w:p>
              </w:tc>
            </w:tr>
          </w:tbl>
          <w:p w:rsidR="00535BA0" w:rsidRPr="003F236D" w:rsidRDefault="00535BA0" w:rsidP="006415D8">
            <w:pPr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6804" w:type="dxa"/>
          </w:tcPr>
          <w:p w:rsidR="00535BA0" w:rsidRPr="003F236D" w:rsidRDefault="00535BA0" w:rsidP="00142DE4">
            <w:pPr>
              <w:snapToGrid w:val="0"/>
              <w:ind w:left="461" w:hangingChars="192" w:hanging="461"/>
              <w:rPr>
                <w:rFonts w:ascii="標楷體" w:eastAsia="標楷體" w:hAnsi="標楷體" w:cs="Times New Roman"/>
                <w:szCs w:val="24"/>
              </w:rPr>
            </w:pPr>
            <w:r w:rsidRPr="003F236D">
              <w:rPr>
                <w:rFonts w:ascii="標楷體" w:eastAsia="標楷體" w:hAnsi="標楷體" w:cs="Times New Roman" w:hint="eastAsia"/>
                <w:szCs w:val="24"/>
              </w:rPr>
              <w:t>六、欲轉科者，須取得轉入科別之採計科目所有學分：若轉科人數超過該科缺額時，依各科所採計科目平均分數高低比序決定之。</w:t>
            </w:r>
          </w:p>
          <w:p w:rsidR="00535BA0" w:rsidRPr="003F236D" w:rsidRDefault="00535BA0" w:rsidP="00142DE4">
            <w:pPr>
              <w:snapToGrid w:val="0"/>
              <w:ind w:left="462"/>
              <w:rPr>
                <w:rFonts w:ascii="標楷體" w:eastAsia="標楷體" w:hAnsi="標楷體" w:cs="Times New Roman"/>
                <w:szCs w:val="24"/>
              </w:rPr>
            </w:pPr>
            <w:r w:rsidRPr="003F236D">
              <w:rPr>
                <w:rFonts w:ascii="標楷體" w:eastAsia="標楷體" w:hAnsi="標楷體" w:cs="Times New Roman" w:hint="eastAsia"/>
                <w:szCs w:val="24"/>
              </w:rPr>
              <w:t>各科互轉計算成績科目如下：</w:t>
            </w:r>
          </w:p>
          <w:tbl>
            <w:tblPr>
              <w:tblStyle w:val="a3"/>
              <w:tblW w:w="0" w:type="auto"/>
              <w:tblInd w:w="880" w:type="dxa"/>
              <w:tblLook w:val="01E0" w:firstRow="1" w:lastRow="1" w:firstColumn="1" w:lastColumn="1" w:noHBand="0" w:noVBand="0"/>
            </w:tblPr>
            <w:tblGrid>
              <w:gridCol w:w="1709"/>
              <w:gridCol w:w="1313"/>
              <w:gridCol w:w="2671"/>
            </w:tblGrid>
            <w:tr w:rsidR="00535BA0" w:rsidRPr="003F236D" w:rsidTr="00535BA0">
              <w:tc>
                <w:tcPr>
                  <w:tcW w:w="1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535BA0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技高</w:t>
                  </w: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互轉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535BA0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轉入之科別</w:t>
                  </w:r>
                </w:p>
              </w:tc>
              <w:tc>
                <w:tcPr>
                  <w:tcW w:w="2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535BA0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採計科目</w:t>
                  </w:r>
                </w:p>
              </w:tc>
            </w:tr>
            <w:tr w:rsidR="003F236D" w:rsidRPr="003F236D" w:rsidTr="00535BA0">
              <w:tc>
                <w:tcPr>
                  <w:tcW w:w="1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535BA0">
                  <w:pPr>
                    <w:widowControl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商經科</w:t>
                  </w:r>
                </w:p>
              </w:tc>
              <w:tc>
                <w:tcPr>
                  <w:tcW w:w="2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  <w:u w:val="single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國語文</w:t>
                  </w:r>
                  <w:r w:rsidRPr="003F236D">
                    <w:rPr>
                      <w:rFonts w:ascii="標楷體" w:eastAsia="標楷體" w:hAnsi="標楷體" w:cs="Times New Roman" w:hint="eastAsia"/>
                      <w:szCs w:val="24"/>
                      <w:u w:val="single"/>
                    </w:rPr>
                    <w:t>、</w:t>
                  </w: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會計學</w:t>
                  </w:r>
                </w:p>
              </w:tc>
            </w:tr>
            <w:tr w:rsidR="003F236D" w:rsidRPr="003F236D" w:rsidTr="00535BA0">
              <w:tc>
                <w:tcPr>
                  <w:tcW w:w="1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535BA0">
                  <w:pPr>
                    <w:widowControl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國貿科</w:t>
                  </w:r>
                </w:p>
              </w:tc>
              <w:tc>
                <w:tcPr>
                  <w:tcW w:w="2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  <w:u w:val="single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英語文</w:t>
                  </w:r>
                  <w:r w:rsidRPr="003F236D">
                    <w:rPr>
                      <w:rFonts w:ascii="標楷體" w:eastAsia="標楷體" w:hAnsi="標楷體" w:cs="Times New Roman" w:hint="eastAsia"/>
                      <w:szCs w:val="24"/>
                      <w:u w:val="single"/>
                    </w:rPr>
                    <w:t>、</w:t>
                  </w: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會計學</w:t>
                  </w:r>
                </w:p>
              </w:tc>
            </w:tr>
            <w:tr w:rsidR="003F236D" w:rsidRPr="003F236D" w:rsidTr="00535BA0">
              <w:tc>
                <w:tcPr>
                  <w:tcW w:w="1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535BA0">
                  <w:pPr>
                    <w:widowControl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資處科</w:t>
                  </w:r>
                </w:p>
              </w:tc>
              <w:tc>
                <w:tcPr>
                  <w:tcW w:w="2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數學、</w:t>
                  </w: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數位</w:t>
                  </w:r>
                  <w:r w:rsidRPr="003F236D">
                    <w:rPr>
                      <w:rFonts w:ascii="標楷體" w:eastAsia="標楷體" w:hAnsi="標楷體" w:cs="Times New Roman"/>
                      <w:color w:val="FF0000"/>
                      <w:szCs w:val="24"/>
                      <w:u w:val="single"/>
                    </w:rPr>
                    <w:t>科技概論</w:t>
                  </w:r>
                </w:p>
              </w:tc>
            </w:tr>
            <w:tr w:rsidR="00535BA0" w:rsidRPr="003F236D" w:rsidTr="00535BA0">
              <w:tc>
                <w:tcPr>
                  <w:tcW w:w="17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535BA0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技高</w:t>
                  </w: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轉綜高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綜高</w:t>
                  </w:r>
                </w:p>
              </w:tc>
              <w:tc>
                <w:tcPr>
                  <w:tcW w:w="2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國語文</w:t>
                  </w:r>
                  <w:r w:rsidRPr="003F236D">
                    <w:rPr>
                      <w:rFonts w:ascii="標楷體" w:eastAsia="標楷體" w:hAnsi="標楷體" w:cs="Times New Roman" w:hint="eastAsia"/>
                      <w:szCs w:val="24"/>
                      <w:u w:val="single"/>
                    </w:rPr>
                    <w:t>、</w:t>
                  </w: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英語文</w:t>
                  </w: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、數學</w:t>
                  </w:r>
                </w:p>
              </w:tc>
            </w:tr>
            <w:tr w:rsidR="00535BA0" w:rsidRPr="003F236D" w:rsidTr="00535BA0">
              <w:tc>
                <w:tcPr>
                  <w:tcW w:w="1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35BA0" w:rsidRPr="003F236D" w:rsidRDefault="00535BA0" w:rsidP="00535BA0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技高</w:t>
                  </w: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轉進修部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商經科</w:t>
                  </w:r>
                </w:p>
              </w:tc>
              <w:tc>
                <w:tcPr>
                  <w:tcW w:w="2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  <w:u w:val="single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國語文</w:t>
                  </w:r>
                  <w:r w:rsidRPr="003F236D">
                    <w:rPr>
                      <w:rFonts w:ascii="標楷體" w:eastAsia="標楷體" w:hAnsi="標楷體" w:cs="Times New Roman" w:hint="eastAsia"/>
                      <w:szCs w:val="24"/>
                      <w:u w:val="single"/>
                    </w:rPr>
                    <w:t>、</w:t>
                  </w: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會計學</w:t>
                  </w:r>
                </w:p>
              </w:tc>
            </w:tr>
            <w:tr w:rsidR="00535BA0" w:rsidRPr="003F236D" w:rsidTr="00535BA0">
              <w:tc>
                <w:tcPr>
                  <w:tcW w:w="1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BA0" w:rsidRPr="003F236D" w:rsidRDefault="00535BA0" w:rsidP="00535BA0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資處科</w:t>
                  </w:r>
                </w:p>
              </w:tc>
              <w:tc>
                <w:tcPr>
                  <w:tcW w:w="2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數學、</w:t>
                  </w: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數位</w:t>
                  </w:r>
                  <w:r w:rsidRPr="003F236D">
                    <w:rPr>
                      <w:rFonts w:ascii="標楷體" w:eastAsia="標楷體" w:hAnsi="標楷體" w:cs="Times New Roman"/>
                      <w:color w:val="FF0000"/>
                      <w:szCs w:val="24"/>
                      <w:u w:val="single"/>
                    </w:rPr>
                    <w:t>科技概論</w:t>
                  </w:r>
                </w:p>
              </w:tc>
            </w:tr>
            <w:tr w:rsidR="00535BA0" w:rsidRPr="003F236D" w:rsidTr="00535BA0">
              <w:tc>
                <w:tcPr>
                  <w:tcW w:w="1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535BA0">
                  <w:pPr>
                    <w:snapToGrid w:val="0"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綜高轉</w:t>
                  </w: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技高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商經科</w:t>
                  </w:r>
                </w:p>
              </w:tc>
              <w:tc>
                <w:tcPr>
                  <w:tcW w:w="2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  <w:u w:val="single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國語文</w:t>
                  </w:r>
                </w:p>
              </w:tc>
            </w:tr>
            <w:tr w:rsidR="003F236D" w:rsidRPr="003F236D" w:rsidTr="00535BA0">
              <w:tc>
                <w:tcPr>
                  <w:tcW w:w="1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535BA0">
                  <w:pPr>
                    <w:widowControl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國貿科</w:t>
                  </w:r>
                </w:p>
              </w:tc>
              <w:tc>
                <w:tcPr>
                  <w:tcW w:w="2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  <w:u w:val="single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英語文</w:t>
                  </w:r>
                </w:p>
              </w:tc>
            </w:tr>
            <w:tr w:rsidR="003F236D" w:rsidRPr="003F236D" w:rsidTr="00535BA0">
              <w:tc>
                <w:tcPr>
                  <w:tcW w:w="170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35BA0" w:rsidRPr="003F236D" w:rsidRDefault="00535BA0" w:rsidP="00535BA0">
                  <w:pPr>
                    <w:widowControl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資處科</w:t>
                  </w:r>
                </w:p>
              </w:tc>
              <w:tc>
                <w:tcPr>
                  <w:tcW w:w="2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數學、</w:t>
                  </w: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資訊</w:t>
                  </w:r>
                  <w:r w:rsidRPr="003F236D">
                    <w:rPr>
                      <w:rFonts w:ascii="標楷體" w:eastAsia="標楷體" w:hAnsi="標楷體" w:cs="Times New Roman"/>
                      <w:color w:val="FF0000"/>
                      <w:szCs w:val="24"/>
                      <w:u w:val="single"/>
                    </w:rPr>
                    <w:t>科技</w:t>
                  </w:r>
                </w:p>
              </w:tc>
            </w:tr>
            <w:tr w:rsidR="003F236D" w:rsidRPr="003F236D" w:rsidTr="00535BA0">
              <w:tc>
                <w:tcPr>
                  <w:tcW w:w="170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535BA0" w:rsidRPr="003F236D" w:rsidRDefault="00535BA0" w:rsidP="00535BA0">
                  <w:pPr>
                    <w:widowControl/>
                    <w:jc w:val="center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綜高轉進修部</w:t>
                  </w: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商經科</w:t>
                  </w:r>
                </w:p>
              </w:tc>
              <w:tc>
                <w:tcPr>
                  <w:tcW w:w="2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  <w:u w:val="single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國語文</w:t>
                  </w:r>
                </w:p>
              </w:tc>
            </w:tr>
            <w:tr w:rsidR="003F236D" w:rsidRPr="003F236D" w:rsidTr="00535BA0">
              <w:tc>
                <w:tcPr>
                  <w:tcW w:w="1709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35BA0" w:rsidRPr="003F236D" w:rsidRDefault="00535BA0" w:rsidP="00535BA0">
                  <w:pPr>
                    <w:widowControl/>
                    <w:rPr>
                      <w:rFonts w:ascii="標楷體" w:eastAsia="標楷體" w:hAnsi="標楷體" w:cs="Times New Roman"/>
                      <w:szCs w:val="24"/>
                    </w:rPr>
                  </w:pPr>
                </w:p>
              </w:tc>
              <w:tc>
                <w:tcPr>
                  <w:tcW w:w="13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資處科</w:t>
                  </w:r>
                </w:p>
              </w:tc>
              <w:tc>
                <w:tcPr>
                  <w:tcW w:w="26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35BA0" w:rsidRPr="003F236D" w:rsidRDefault="00535BA0" w:rsidP="00535BA0">
                  <w:pPr>
                    <w:snapToGrid w:val="0"/>
                    <w:rPr>
                      <w:rFonts w:ascii="標楷體" w:eastAsia="標楷體" w:hAnsi="標楷體" w:cs="Times New Roman"/>
                      <w:szCs w:val="24"/>
                    </w:rPr>
                  </w:pPr>
                  <w:r w:rsidRPr="003F236D">
                    <w:rPr>
                      <w:rFonts w:ascii="標楷體" w:eastAsia="標楷體" w:hAnsi="標楷體" w:cs="Times New Roman" w:hint="eastAsia"/>
                      <w:szCs w:val="24"/>
                    </w:rPr>
                    <w:t>數學、</w:t>
                  </w:r>
                  <w:r w:rsidRPr="003F236D">
                    <w:rPr>
                      <w:rFonts w:ascii="標楷體" w:eastAsia="標楷體" w:hAnsi="標楷體" w:cs="Times New Roman" w:hint="eastAsia"/>
                      <w:color w:val="FF0000"/>
                      <w:szCs w:val="24"/>
                      <w:u w:val="single"/>
                    </w:rPr>
                    <w:t>資訊</w:t>
                  </w:r>
                  <w:r w:rsidRPr="003F236D">
                    <w:rPr>
                      <w:rFonts w:ascii="標楷體" w:eastAsia="標楷體" w:hAnsi="標楷體" w:cs="Times New Roman"/>
                      <w:color w:val="FF0000"/>
                      <w:szCs w:val="24"/>
                      <w:u w:val="single"/>
                    </w:rPr>
                    <w:t>科技</w:t>
                  </w:r>
                </w:p>
              </w:tc>
            </w:tr>
          </w:tbl>
          <w:p w:rsidR="00535BA0" w:rsidRPr="003F236D" w:rsidRDefault="00535BA0" w:rsidP="009F0791">
            <w:pPr>
              <w:snapToGrid w:val="0"/>
              <w:ind w:left="960" w:hangingChars="400" w:hanging="960"/>
              <w:rPr>
                <w:rFonts w:ascii="標楷體" w:eastAsia="標楷體" w:hAnsi="標楷體" w:cs="Times New Roman"/>
                <w:szCs w:val="24"/>
              </w:rPr>
            </w:pPr>
          </w:p>
        </w:tc>
        <w:tc>
          <w:tcPr>
            <w:tcW w:w="992" w:type="dxa"/>
          </w:tcPr>
          <w:p w:rsidR="00535BA0" w:rsidRPr="009F0791" w:rsidRDefault="003F236D" w:rsidP="003F236D">
            <w:pPr>
              <w:snapToGrid w:val="0"/>
              <w:rPr>
                <w:rFonts w:ascii="Times New Roman" w:hAnsi="Times New Roman" w:cs="Times New Roman"/>
                <w:szCs w:val="24"/>
              </w:rPr>
            </w:pPr>
            <w:r w:rsidRPr="00540175">
              <w:rPr>
                <w:rFonts w:ascii="Times New Roman" w:eastAsia="標楷體" w:hAnsi="Times New Roman" w:hint="eastAsia"/>
              </w:rPr>
              <w:t>因應</w:t>
            </w:r>
            <w:r w:rsidRPr="00540175">
              <w:rPr>
                <w:rFonts w:ascii="Times New Roman" w:eastAsia="標楷體" w:hAnsi="Times New Roman" w:hint="eastAsia"/>
              </w:rPr>
              <w:t>108</w:t>
            </w:r>
            <w:r w:rsidRPr="00540175">
              <w:rPr>
                <w:rFonts w:ascii="Times New Roman" w:eastAsia="標楷體" w:hAnsi="Times New Roman" w:hint="eastAsia"/>
              </w:rPr>
              <w:t>學年度新課</w:t>
            </w:r>
            <w:r>
              <w:rPr>
                <w:rFonts w:ascii="Times New Roman" w:eastAsia="標楷體" w:hAnsi="Times New Roman" w:hint="eastAsia"/>
              </w:rPr>
              <w:t>綱</w:t>
            </w:r>
            <w:r w:rsidRPr="00540175">
              <w:rPr>
                <w:rFonts w:ascii="Times New Roman" w:eastAsia="標楷體" w:hAnsi="Times New Roman" w:hint="eastAsia"/>
              </w:rPr>
              <w:t>課程名稱修正</w:t>
            </w:r>
          </w:p>
        </w:tc>
        <w:bookmarkStart w:id="0" w:name="_GoBack"/>
        <w:bookmarkEnd w:id="0"/>
      </w:tr>
    </w:tbl>
    <w:p w:rsidR="00356634" w:rsidRDefault="00356634" w:rsidP="00AA52F5">
      <w:pPr>
        <w:spacing w:line="40" w:lineRule="exact"/>
      </w:pPr>
    </w:p>
    <w:p w:rsidR="002B2626" w:rsidRDefault="002B2626">
      <w:pPr>
        <w:widowControl/>
      </w:pPr>
    </w:p>
    <w:sectPr w:rsidR="002B2626" w:rsidSect="00535BA0">
      <w:pgSz w:w="16840" w:h="11907" w:orient="landscape" w:code="9"/>
      <w:pgMar w:top="567" w:right="1134" w:bottom="567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1B25" w:rsidRDefault="003B1B25" w:rsidP="003A18F3">
      <w:r>
        <w:separator/>
      </w:r>
    </w:p>
  </w:endnote>
  <w:endnote w:type="continuationSeparator" w:id="0">
    <w:p w:rsidR="003B1B25" w:rsidRDefault="003B1B25" w:rsidP="003A1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1B25" w:rsidRDefault="003B1B25" w:rsidP="003A18F3">
      <w:r>
        <w:separator/>
      </w:r>
    </w:p>
  </w:footnote>
  <w:footnote w:type="continuationSeparator" w:id="0">
    <w:p w:rsidR="003B1B25" w:rsidRDefault="003B1B25" w:rsidP="003A18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3501C"/>
    <w:multiLevelType w:val="hybridMultilevel"/>
    <w:tmpl w:val="E8247060"/>
    <w:lvl w:ilvl="0" w:tplc="04090015">
      <w:start w:val="5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3B14482"/>
    <w:multiLevelType w:val="hybridMultilevel"/>
    <w:tmpl w:val="59126FF2"/>
    <w:lvl w:ilvl="0" w:tplc="04090015">
      <w:start w:val="1"/>
      <w:numFmt w:val="taiwaneseCountingThousand"/>
      <w:lvlText w:val="%1、"/>
      <w:lvlJc w:val="left"/>
      <w:pPr>
        <w:ind w:left="1669" w:hanging="480"/>
      </w:pPr>
      <w:rPr>
        <w:rFonts w:hint="eastAsia"/>
        <w:sz w:val="24"/>
        <w:szCs w:val="24"/>
      </w:rPr>
    </w:lvl>
    <w:lvl w:ilvl="1" w:tplc="9246F774">
      <w:start w:val="1"/>
      <w:numFmt w:val="taiwaneseCountingThousand"/>
      <w:lvlText w:val="(%2)"/>
      <w:lvlJc w:val="left"/>
      <w:pPr>
        <w:ind w:left="960" w:hanging="480"/>
      </w:pPr>
      <w:rPr>
        <w:rFonts w:hint="eastAsia"/>
        <w:sz w:val="24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5C267C3E">
      <w:start w:val="1"/>
      <w:numFmt w:val="decimal"/>
      <w:lvlText w:val="%4."/>
      <w:lvlJc w:val="left"/>
      <w:pPr>
        <w:ind w:left="1920" w:hanging="480"/>
      </w:pPr>
      <w:rPr>
        <w:sz w:val="24"/>
      </w:rPr>
    </w:lvl>
    <w:lvl w:ilvl="4" w:tplc="0409000F">
      <w:start w:val="1"/>
      <w:numFmt w:val="decimal"/>
      <w:lvlText w:val="%5."/>
      <w:lvlJc w:val="left"/>
      <w:pPr>
        <w:ind w:left="2568" w:hanging="648"/>
      </w:pPr>
      <w:rPr>
        <w:rFonts w:hint="default"/>
        <w:sz w:val="24"/>
      </w:rPr>
    </w:lvl>
    <w:lvl w:ilvl="5" w:tplc="06ECEF8C">
      <w:start w:val="1"/>
      <w:numFmt w:val="decimal"/>
      <w:lvlText w:val="(%6)"/>
      <w:lvlJc w:val="left"/>
      <w:pPr>
        <w:ind w:left="2880" w:hanging="480"/>
      </w:pPr>
      <w:rPr>
        <w:rFonts w:hint="eastAsia"/>
        <w:sz w:val="24"/>
        <w:szCs w:val="24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634"/>
    <w:rsid w:val="000C1172"/>
    <w:rsid w:val="0010134E"/>
    <w:rsid w:val="00142DE4"/>
    <w:rsid w:val="001542C7"/>
    <w:rsid w:val="00162463"/>
    <w:rsid w:val="00181740"/>
    <w:rsid w:val="00223589"/>
    <w:rsid w:val="002550C6"/>
    <w:rsid w:val="002B2626"/>
    <w:rsid w:val="002E4677"/>
    <w:rsid w:val="0030381A"/>
    <w:rsid w:val="00314E07"/>
    <w:rsid w:val="00323759"/>
    <w:rsid w:val="00356634"/>
    <w:rsid w:val="00391A08"/>
    <w:rsid w:val="003A18F3"/>
    <w:rsid w:val="003B1B25"/>
    <w:rsid w:val="003B6C76"/>
    <w:rsid w:val="003D59A5"/>
    <w:rsid w:val="003F236D"/>
    <w:rsid w:val="00420B23"/>
    <w:rsid w:val="004A1108"/>
    <w:rsid w:val="00507514"/>
    <w:rsid w:val="00531E7B"/>
    <w:rsid w:val="00535BA0"/>
    <w:rsid w:val="00577190"/>
    <w:rsid w:val="00611404"/>
    <w:rsid w:val="00613868"/>
    <w:rsid w:val="006365A3"/>
    <w:rsid w:val="006415D8"/>
    <w:rsid w:val="006519E0"/>
    <w:rsid w:val="006A08C5"/>
    <w:rsid w:val="006B3261"/>
    <w:rsid w:val="0071327B"/>
    <w:rsid w:val="0072435C"/>
    <w:rsid w:val="00793083"/>
    <w:rsid w:val="007C7306"/>
    <w:rsid w:val="007F3951"/>
    <w:rsid w:val="00851671"/>
    <w:rsid w:val="008856AD"/>
    <w:rsid w:val="008B16E3"/>
    <w:rsid w:val="008D4889"/>
    <w:rsid w:val="008D713C"/>
    <w:rsid w:val="008E518C"/>
    <w:rsid w:val="00902ADE"/>
    <w:rsid w:val="009054B3"/>
    <w:rsid w:val="009217B2"/>
    <w:rsid w:val="009268F8"/>
    <w:rsid w:val="00933512"/>
    <w:rsid w:val="00987668"/>
    <w:rsid w:val="009F0791"/>
    <w:rsid w:val="00A96CF5"/>
    <w:rsid w:val="00AA52F5"/>
    <w:rsid w:val="00AC013C"/>
    <w:rsid w:val="00AC0EE6"/>
    <w:rsid w:val="00B2640E"/>
    <w:rsid w:val="00C107C2"/>
    <w:rsid w:val="00C537F4"/>
    <w:rsid w:val="00C65A15"/>
    <w:rsid w:val="00C879EA"/>
    <w:rsid w:val="00CF3EE6"/>
    <w:rsid w:val="00D41A3F"/>
    <w:rsid w:val="00D656CA"/>
    <w:rsid w:val="00DA257A"/>
    <w:rsid w:val="00DC3B98"/>
    <w:rsid w:val="00E0131E"/>
    <w:rsid w:val="00E2520D"/>
    <w:rsid w:val="00E5106E"/>
    <w:rsid w:val="00EE1540"/>
    <w:rsid w:val="00EE34F2"/>
    <w:rsid w:val="00EF0064"/>
    <w:rsid w:val="00EF522B"/>
    <w:rsid w:val="00FF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6B0B72B6-4F48-4715-A1A3-DAA2A78F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66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A52F5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註解方塊文字 字元"/>
    <w:basedOn w:val="a0"/>
    <w:link w:val="a4"/>
    <w:uiPriority w:val="99"/>
    <w:semiHidden/>
    <w:rsid w:val="00AA52F5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3A18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3A18F3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3A18F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3A18F3"/>
    <w:rPr>
      <w:sz w:val="20"/>
      <w:szCs w:val="20"/>
    </w:rPr>
  </w:style>
  <w:style w:type="paragraph" w:styleId="aa">
    <w:name w:val="List Paragraph"/>
    <w:basedOn w:val="a"/>
    <w:uiPriority w:val="34"/>
    <w:qFormat/>
    <w:rsid w:val="004A1108"/>
    <w:pPr>
      <w:autoSpaceDE w:val="0"/>
      <w:autoSpaceDN w:val="0"/>
      <w:ind w:leftChars="200" w:left="480"/>
    </w:pPr>
    <w:rPr>
      <w:rFonts w:ascii="細明體" w:eastAsia="細明體" w:hAnsi="細明體" w:cs="細明體"/>
      <w:kern w:val="0"/>
      <w:sz w:val="22"/>
      <w:lang w:val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56</cp:revision>
  <cp:lastPrinted>2020-06-22T07:09:00Z</cp:lastPrinted>
  <dcterms:created xsi:type="dcterms:W3CDTF">2020-06-22T06:56:00Z</dcterms:created>
  <dcterms:modified xsi:type="dcterms:W3CDTF">2020-06-23T12:01:00Z</dcterms:modified>
</cp:coreProperties>
</file>